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06D69" w14:textId="77777777" w:rsidR="00E42E4C" w:rsidRDefault="00EE3C4A" w:rsidP="00EE3C4A">
      <w:pPr>
        <w:pStyle w:val="Heading1"/>
      </w:pPr>
      <w:r>
        <w:t>TPM PIC</w:t>
      </w:r>
    </w:p>
    <w:p w14:paraId="2D521489" w14:textId="77777777" w:rsidR="00EE3C4A" w:rsidRDefault="00EE3C4A" w:rsidP="00EE3C4A">
      <w:pPr>
        <w:pStyle w:val="Heading2"/>
      </w:pPr>
      <w:r>
        <w:lastRenderedPageBreak/>
        <w:t>1NC</w:t>
      </w:r>
    </w:p>
    <w:p w14:paraId="40EA98DF" w14:textId="77777777" w:rsidR="00EE3C4A" w:rsidRDefault="00EE3C4A" w:rsidP="00EE3C4A">
      <w:pPr>
        <w:pStyle w:val="Heading3"/>
      </w:pPr>
      <w:r>
        <w:lastRenderedPageBreak/>
        <w:t>CP</w:t>
      </w:r>
    </w:p>
    <w:p w14:paraId="721CB015" w14:textId="2FFA2351" w:rsidR="00D56C7C" w:rsidRDefault="00D56C7C" w:rsidP="00D56C7C">
      <w:pPr>
        <w:pStyle w:val="Heading4"/>
      </w:pPr>
      <w:r>
        <w:t>Public colleges and universities in the United States ought to only restrict &lt;&gt; in order to maintain the ability impose reasonable time, place, and manner restrictions on speech.</w:t>
      </w:r>
    </w:p>
    <w:p w14:paraId="49075EBC" w14:textId="3402930D" w:rsidR="00D56C7C" w:rsidRPr="00D56C7C" w:rsidRDefault="00D56C7C" w:rsidP="00D56C7C">
      <w:pPr>
        <w:pStyle w:val="Heading4"/>
      </w:pPr>
      <w:r>
        <w:t xml:space="preserve">It competes – </w:t>
      </w:r>
    </w:p>
    <w:p w14:paraId="2A29A1FC" w14:textId="1E6FFD5B" w:rsidR="00D56C7C" w:rsidRDefault="00D56C7C" w:rsidP="00D56C7C">
      <w:pPr>
        <w:pStyle w:val="Heading4"/>
      </w:pPr>
      <w:r>
        <w:t>Restrict means imposing regulation on.</w:t>
      </w:r>
    </w:p>
    <w:p w14:paraId="531BC97A" w14:textId="4AEDDC87" w:rsidR="00D56C7C" w:rsidRPr="00D56C7C" w:rsidRDefault="00D56C7C" w:rsidP="00D56C7C">
      <w:pPr>
        <w:spacing w:after="160"/>
      </w:pPr>
      <w:r w:rsidRPr="00D56C7C">
        <w:rPr>
          <w:rStyle w:val="Emphasis"/>
        </w:rPr>
        <w:t>Free Dictionary</w:t>
      </w:r>
      <w:r>
        <w:t xml:space="preserve"> </w:t>
      </w:r>
      <w:r w:rsidRPr="00DD0C84">
        <w:rPr>
          <w:sz w:val="16"/>
          <w:szCs w:val="16"/>
        </w:rPr>
        <w:t>the</w:t>
      </w:r>
      <w:r w:rsidRPr="00DD0C84">
        <w:rPr>
          <w:sz w:val="16"/>
          <w:szCs w:val="16"/>
        </w:rPr>
        <w:t xml:space="preserve"> Free Dictionary by </w:t>
      </w:r>
      <w:proofErr w:type="spellStart"/>
      <w:r w:rsidRPr="00DD0C84">
        <w:rPr>
          <w:sz w:val="16"/>
          <w:szCs w:val="16"/>
        </w:rPr>
        <w:t>Farlex</w:t>
      </w:r>
      <w:proofErr w:type="spellEnd"/>
      <w:r w:rsidRPr="00DD0C84">
        <w:rPr>
          <w:sz w:val="16"/>
          <w:szCs w:val="16"/>
        </w:rPr>
        <w:t>. http://legal-dictionary.thefreedictionary.com/restriction SA-IB</w:t>
      </w:r>
    </w:p>
    <w:p w14:paraId="71CC189F" w14:textId="77777777" w:rsidR="00D56C7C" w:rsidRPr="00D56C7C" w:rsidRDefault="00D56C7C" w:rsidP="00D56C7C">
      <w:pPr>
        <w:rPr>
          <w:sz w:val="12"/>
        </w:rPr>
      </w:pPr>
      <w:r w:rsidRPr="00D56C7C">
        <w:rPr>
          <w:sz w:val="12"/>
        </w:rPr>
        <w:t xml:space="preserve">n. </w:t>
      </w:r>
      <w:r w:rsidRPr="00D56C7C">
        <w:rPr>
          <w:rStyle w:val="Emphasis"/>
          <w:highlight w:val="yellow"/>
        </w:rPr>
        <w:t>any limitation on activity</w:t>
      </w:r>
      <w:r w:rsidRPr="00D56C7C">
        <w:rPr>
          <w:sz w:val="12"/>
        </w:rPr>
        <w:t xml:space="preserve">, </w:t>
      </w:r>
      <w:r w:rsidRPr="00D56C7C">
        <w:rPr>
          <w:rStyle w:val="Emphasis"/>
          <w:highlight w:val="yellow"/>
        </w:rPr>
        <w:t>by</w:t>
      </w:r>
      <w:r>
        <w:rPr>
          <w:rStyle w:val="Emphasis"/>
        </w:rPr>
        <w:t xml:space="preserve"> </w:t>
      </w:r>
      <w:r w:rsidRPr="00DD0C84">
        <w:rPr>
          <w:rStyle w:val="Emphasis"/>
        </w:rPr>
        <w:t>statute</w:t>
      </w:r>
      <w:r w:rsidRPr="00D56C7C">
        <w:rPr>
          <w:sz w:val="12"/>
        </w:rPr>
        <w:t xml:space="preserve">, </w:t>
      </w:r>
      <w:r w:rsidRPr="00D56C7C">
        <w:rPr>
          <w:rStyle w:val="Emphasis"/>
          <w:highlight w:val="yellow"/>
          <w:bdr w:val="single" w:sz="18" w:space="0" w:color="auto"/>
        </w:rPr>
        <w:t>regulation</w:t>
      </w:r>
      <w:r>
        <w:rPr>
          <w:rStyle w:val="Emphasis"/>
        </w:rPr>
        <w:t xml:space="preserve"> </w:t>
      </w:r>
      <w:r w:rsidRPr="00DD0C84">
        <w:rPr>
          <w:rStyle w:val="Emphasis"/>
        </w:rPr>
        <w:t>or</w:t>
      </w:r>
      <w:r>
        <w:rPr>
          <w:rStyle w:val="Emphasis"/>
        </w:rPr>
        <w:t xml:space="preserve"> </w:t>
      </w:r>
      <w:r w:rsidRPr="00D56C7C">
        <w:rPr>
          <w:sz w:val="12"/>
        </w:rPr>
        <w:t xml:space="preserve">contract </w:t>
      </w:r>
      <w:r w:rsidRPr="00DD0C84">
        <w:rPr>
          <w:rStyle w:val="Emphasis"/>
        </w:rPr>
        <w:t>provision.</w:t>
      </w:r>
      <w:r w:rsidRPr="00D56C7C">
        <w:rPr>
          <w:sz w:val="12"/>
        </w:rPr>
        <w:t xml:space="preserve"> In multi-unit real estate developments, </w:t>
      </w:r>
      <w:proofErr w:type="spellStart"/>
      <w:r w:rsidRPr="00D56C7C">
        <w:rPr>
          <w:sz w:val="12"/>
        </w:rPr>
        <w:t>condominiumand</w:t>
      </w:r>
      <w:proofErr w:type="spellEnd"/>
      <w:r w:rsidRPr="00D56C7C">
        <w:rPr>
          <w:sz w:val="12"/>
        </w:rPr>
        <w:t xml:space="preserve"> cooperative housing projects, managed by homeowners' associations or similar organizations are usually required </w:t>
      </w:r>
      <w:proofErr w:type="spellStart"/>
      <w:r w:rsidRPr="00D56C7C">
        <w:rPr>
          <w:sz w:val="12"/>
        </w:rPr>
        <w:t>bystate</w:t>
      </w:r>
      <w:proofErr w:type="spellEnd"/>
      <w:r w:rsidRPr="00D56C7C">
        <w:rPr>
          <w:sz w:val="12"/>
        </w:rPr>
        <w:t xml:space="preserve"> law to impose restrictions on use. Thus, </w:t>
      </w:r>
      <w:r w:rsidRPr="00DD0C84">
        <w:rPr>
          <w:rStyle w:val="Emphasis"/>
        </w:rPr>
        <w:t>the</w:t>
      </w:r>
      <w:r>
        <w:rPr>
          <w:rStyle w:val="Emphasis"/>
        </w:rPr>
        <w:t xml:space="preserve"> </w:t>
      </w:r>
      <w:r w:rsidRPr="00D56C7C">
        <w:rPr>
          <w:rStyle w:val="Emphasis"/>
          <w:highlight w:val="yellow"/>
        </w:rPr>
        <w:t>restrictions are part of</w:t>
      </w:r>
      <w:r>
        <w:rPr>
          <w:rStyle w:val="Emphasis"/>
        </w:rPr>
        <w:t xml:space="preserve"> </w:t>
      </w:r>
      <w:r w:rsidRPr="00D56C7C">
        <w:rPr>
          <w:sz w:val="12"/>
        </w:rPr>
        <w:t xml:space="preserve">the "covenants, </w:t>
      </w:r>
      <w:r w:rsidRPr="00D56C7C">
        <w:rPr>
          <w:rStyle w:val="Emphasis"/>
          <w:highlight w:val="yellow"/>
          <w:bdr w:val="single" w:sz="18" w:space="0" w:color="auto"/>
        </w:rPr>
        <w:t>conditions</w:t>
      </w:r>
      <w:r>
        <w:rPr>
          <w:rStyle w:val="Emphasis"/>
        </w:rPr>
        <w:t xml:space="preserve"> </w:t>
      </w:r>
      <w:r w:rsidRPr="00DD0C84">
        <w:rPr>
          <w:rStyle w:val="Emphasis"/>
        </w:rPr>
        <w:t>and</w:t>
      </w:r>
      <w:r>
        <w:rPr>
          <w:rStyle w:val="Emphasis"/>
        </w:rPr>
        <w:t xml:space="preserve"> </w:t>
      </w:r>
      <w:r w:rsidRPr="00DD0C84">
        <w:rPr>
          <w:rStyle w:val="Emphasis"/>
        </w:rPr>
        <w:t>restrictions</w:t>
      </w:r>
      <w:r w:rsidRPr="00D56C7C">
        <w:rPr>
          <w:sz w:val="12"/>
        </w:rPr>
        <w:t>," intended to enhance the use of common facilities and property, recorded and incorporated into the title of each owner.</w:t>
      </w:r>
    </w:p>
    <w:p w14:paraId="33E9BD33" w14:textId="21A4BEEB" w:rsidR="00D56C7C" w:rsidRDefault="00D56C7C" w:rsidP="00D56C7C">
      <w:pPr>
        <w:pStyle w:val="Heading4"/>
      </w:pPr>
      <w:r>
        <w:t>TPM is a restriction.</w:t>
      </w:r>
    </w:p>
    <w:p w14:paraId="667774EA" w14:textId="63CC75B2" w:rsidR="00D56C7C" w:rsidRPr="008958FC" w:rsidRDefault="00D56C7C" w:rsidP="00D56C7C">
      <w:pPr>
        <w:spacing w:after="160"/>
        <w:rPr>
          <w:sz w:val="16"/>
          <w:szCs w:val="16"/>
        </w:rPr>
      </w:pPr>
      <w:r w:rsidRPr="008958FC">
        <w:rPr>
          <w:sz w:val="16"/>
          <w:szCs w:val="16"/>
        </w:rPr>
        <w:t>Thomas</w:t>
      </w:r>
      <w:r w:rsidRPr="00D56C7C">
        <w:t xml:space="preserve"> </w:t>
      </w:r>
      <w:proofErr w:type="spellStart"/>
      <w:r w:rsidRPr="00D56C7C">
        <w:rPr>
          <w:rStyle w:val="Emphasis"/>
        </w:rPr>
        <w:t>Flygare</w:t>
      </w:r>
      <w:proofErr w:type="spellEnd"/>
      <w:r w:rsidRPr="00D56C7C">
        <w:rPr>
          <w:rStyle w:val="Emphasis"/>
        </w:rPr>
        <w:t xml:space="preserve"> 81</w:t>
      </w:r>
      <w:r w:rsidRPr="008958FC">
        <w:rPr>
          <w:sz w:val="16"/>
          <w:szCs w:val="16"/>
        </w:rPr>
        <w:t>. “High Court Sets Standards for First Amendment Time, Place, and Manner Rules” 1981 SA-IB</w:t>
      </w:r>
    </w:p>
    <w:p w14:paraId="2D39F272" w14:textId="77777777" w:rsidR="00D56C7C" w:rsidRPr="00D56C7C" w:rsidRDefault="00D56C7C" w:rsidP="00D56C7C">
      <w:pPr>
        <w:rPr>
          <w:sz w:val="10"/>
        </w:rPr>
      </w:pPr>
      <w:r w:rsidRPr="00D56C7C">
        <w:rPr>
          <w:sz w:val="10"/>
        </w:rPr>
        <w:t xml:space="preserve">First, </w:t>
      </w:r>
      <w:r w:rsidRPr="00D56C7C">
        <w:rPr>
          <w:rStyle w:val="Emphasis"/>
          <w:highlight w:val="yellow"/>
        </w:rPr>
        <w:t>restrictions of</w:t>
      </w:r>
      <w:r w:rsidRPr="00F74155">
        <w:rPr>
          <w:rStyle w:val="Emphasis"/>
        </w:rPr>
        <w:t xml:space="preserve"> </w:t>
      </w:r>
      <w:r w:rsidRPr="00D56C7C">
        <w:rPr>
          <w:rStyle w:val="Emphasis"/>
          <w:highlight w:val="yellow"/>
          <w:bdr w:val="single" w:sz="18" w:space="0" w:color="auto"/>
        </w:rPr>
        <w:t>t</w:t>
      </w:r>
      <w:r w:rsidRPr="00F74155">
        <w:rPr>
          <w:rStyle w:val="Emphasis"/>
        </w:rPr>
        <w:t xml:space="preserve">ime, </w:t>
      </w:r>
      <w:r w:rsidRPr="00D56C7C">
        <w:rPr>
          <w:rStyle w:val="Emphasis"/>
          <w:highlight w:val="yellow"/>
          <w:bdr w:val="single" w:sz="18" w:space="0" w:color="auto"/>
        </w:rPr>
        <w:t>p</w:t>
      </w:r>
      <w:r w:rsidRPr="00F74155">
        <w:rPr>
          <w:rStyle w:val="Emphasis"/>
        </w:rPr>
        <w:t xml:space="preserve">lace, and </w:t>
      </w:r>
      <w:r w:rsidRPr="00D56C7C">
        <w:rPr>
          <w:rStyle w:val="Emphasis"/>
          <w:highlight w:val="yellow"/>
          <w:bdr w:val="single" w:sz="18" w:space="0" w:color="auto"/>
        </w:rPr>
        <w:t>m</w:t>
      </w:r>
      <w:r w:rsidRPr="00F74155">
        <w:rPr>
          <w:rStyle w:val="Emphasis"/>
        </w:rPr>
        <w:t xml:space="preserve">anner </w:t>
      </w:r>
      <w:r w:rsidRPr="00D56C7C">
        <w:rPr>
          <w:rStyle w:val="Emphasis"/>
          <w:highlight w:val="yellow"/>
        </w:rPr>
        <w:t>may not be based upon</w:t>
      </w:r>
      <w:r w:rsidRPr="00D56C7C">
        <w:rPr>
          <w:sz w:val="10"/>
        </w:rPr>
        <w:t xml:space="preserve"> either </w:t>
      </w:r>
      <w:r w:rsidRPr="00F74155">
        <w:rPr>
          <w:rStyle w:val="Emphasis"/>
        </w:rPr>
        <w:t xml:space="preserve">the </w:t>
      </w:r>
      <w:r w:rsidRPr="00D56C7C">
        <w:rPr>
          <w:rStyle w:val="Emphasis"/>
          <w:highlight w:val="yellow"/>
        </w:rPr>
        <w:t>conten</w:t>
      </w:r>
      <w:r w:rsidRPr="00F74155">
        <w:rPr>
          <w:rStyle w:val="Emphasis"/>
        </w:rPr>
        <w:t>t or subject</w:t>
      </w:r>
      <w:r w:rsidRPr="00D56C7C">
        <w:rPr>
          <w:sz w:val="10"/>
        </w:rPr>
        <w:t xml:space="preserve"> matter of the speech being regulated. Justice White found that Rule 6.05 was applied evenhandedly to all who wished to distribute and sell written material or to solicit funds at the Min </w:t>
      </w:r>
      <w:proofErr w:type="spellStart"/>
      <w:r w:rsidRPr="00D56C7C">
        <w:rPr>
          <w:sz w:val="10"/>
        </w:rPr>
        <w:t>nesota</w:t>
      </w:r>
      <w:proofErr w:type="spellEnd"/>
      <w:r w:rsidRPr="00D56C7C">
        <w:rPr>
          <w:sz w:val="10"/>
        </w:rPr>
        <w:t xml:space="preserve"> State Fair. Second, </w:t>
      </w:r>
      <w:r w:rsidRPr="00D56C7C">
        <w:rPr>
          <w:rStyle w:val="Emphasis"/>
          <w:highlight w:val="yellow"/>
        </w:rPr>
        <w:t>valid restrictions</w:t>
      </w:r>
      <w:r w:rsidRPr="00F74155">
        <w:rPr>
          <w:rStyle w:val="Emphasis"/>
        </w:rPr>
        <w:t xml:space="preserve"> on time, place,</w:t>
      </w:r>
      <w:r>
        <w:rPr>
          <w:rStyle w:val="Emphasis"/>
        </w:rPr>
        <w:t xml:space="preserve"> and manner </w:t>
      </w:r>
      <w:r w:rsidRPr="00D56C7C">
        <w:rPr>
          <w:rStyle w:val="Emphasis"/>
          <w:highlight w:val="yellow"/>
        </w:rPr>
        <w:t>may not permit arbitrary discretion</w:t>
      </w:r>
      <w:r w:rsidRPr="00F74155">
        <w:rPr>
          <w:rStyle w:val="Emphasis"/>
        </w:rPr>
        <w:t xml:space="preserve"> on the part of government officials</w:t>
      </w:r>
      <w:r w:rsidRPr="00D56C7C">
        <w:rPr>
          <w:sz w:val="10"/>
        </w:rPr>
        <w:t xml:space="preserve"> responsible for monitoring the First Amendment activities in the area. Such discretion has the potential for sup pressing a particular point of view, and so the courts have been particularly reluctant to permit broad latitude by government officials. At the Minnesota State Fair, such discretion could not be exercised, because the method of allocating booth space was a straightforward first-come, first-served system. The third, and most controversial, standard outlined by Justice White is the requirement that </w:t>
      </w:r>
      <w:r w:rsidRPr="00F74155">
        <w:rPr>
          <w:rStyle w:val="Emphasis"/>
        </w:rPr>
        <w:t xml:space="preserve">a valid restriction on time, place, </w:t>
      </w:r>
      <w:r w:rsidRPr="00D56C7C">
        <w:rPr>
          <w:rStyle w:val="Emphasis"/>
          <w:highlight w:val="yellow"/>
        </w:rPr>
        <w:t>and</w:t>
      </w:r>
      <w:r w:rsidRPr="00F74155">
        <w:rPr>
          <w:rStyle w:val="Emphasis"/>
        </w:rPr>
        <w:t xml:space="preserve"> manner </w:t>
      </w:r>
      <w:r w:rsidRPr="00D56C7C">
        <w:rPr>
          <w:rStyle w:val="Emphasis"/>
          <w:highlight w:val="yellow"/>
        </w:rPr>
        <w:t xml:space="preserve">must serve </w:t>
      </w:r>
      <w:r w:rsidRPr="00D56C7C">
        <w:rPr>
          <w:sz w:val="10"/>
        </w:rPr>
        <w:t>"</w:t>
      </w:r>
      <w:r w:rsidRPr="00D56C7C">
        <w:rPr>
          <w:rStyle w:val="Emphasis"/>
          <w:highlight w:val="yellow"/>
        </w:rPr>
        <w:t>a significant governmental interest.</w:t>
      </w:r>
      <w:r w:rsidRPr="00D56C7C">
        <w:rPr>
          <w:sz w:val="10"/>
          <w:highlight w:val="yellow"/>
        </w:rPr>
        <w:t>"</w:t>
      </w:r>
      <w:r w:rsidRPr="00D56C7C">
        <w:rPr>
          <w:sz w:val="10"/>
        </w:rPr>
        <w:t xml:space="preserve"> Fair officials argued that at least three sig </w:t>
      </w:r>
      <w:proofErr w:type="spellStart"/>
      <w:r w:rsidRPr="00D56C7C">
        <w:rPr>
          <w:sz w:val="10"/>
        </w:rPr>
        <w:t>nificant</w:t>
      </w:r>
      <w:proofErr w:type="spellEnd"/>
      <w:r w:rsidRPr="00D56C7C">
        <w:rPr>
          <w:sz w:val="10"/>
        </w:rPr>
        <w:t xml:space="preserve"> governmental interests were at stake in this case. </w:t>
      </w:r>
    </w:p>
    <w:p w14:paraId="72CC45F5" w14:textId="397C49C6" w:rsidR="00D56C7C" w:rsidRDefault="00D56C7C" w:rsidP="00D56C7C">
      <w:pPr>
        <w:pStyle w:val="Heading4"/>
      </w:pPr>
      <w:r>
        <w:t>TPM is key to maintain education in classes – even dogmatic aff authors agree that reasonable TPM avoids censorship issues.</w:t>
      </w:r>
    </w:p>
    <w:p w14:paraId="140CF8C0" w14:textId="3D4882D9" w:rsidR="00D56C7C" w:rsidRPr="00A94CB3" w:rsidRDefault="00D56C7C" w:rsidP="00D56C7C">
      <w:pPr>
        <w:spacing w:after="160"/>
        <w:rPr>
          <w:sz w:val="16"/>
          <w:szCs w:val="16"/>
        </w:rPr>
      </w:pPr>
      <w:r w:rsidRPr="00A94CB3">
        <w:rPr>
          <w:sz w:val="16"/>
          <w:szCs w:val="16"/>
        </w:rPr>
        <w:t>Samantha</w:t>
      </w:r>
      <w:r>
        <w:rPr>
          <w:sz w:val="16"/>
          <w:szCs w:val="16"/>
        </w:rPr>
        <w:t xml:space="preserve"> </w:t>
      </w:r>
      <w:r>
        <w:rPr>
          <w:rStyle w:val="Emphasis"/>
        </w:rPr>
        <w:t>Harris 12</w:t>
      </w:r>
      <w:r w:rsidRPr="00A94CB3">
        <w:rPr>
          <w:sz w:val="16"/>
          <w:szCs w:val="16"/>
        </w:rPr>
        <w:t>, graduated from the University of Pennsylvania Law School and from Princeton University, where she earned an A.B. magna cum laude in politics. “Misunderstanding ‘Time, Place, and Manner’ Restrictions” November 06, 2012. SA-IB</w:t>
      </w:r>
    </w:p>
    <w:p w14:paraId="269CC8B9" w14:textId="1306ADAD" w:rsidR="00692AA8" w:rsidRPr="00A94CB3" w:rsidRDefault="00D56C7C" w:rsidP="00D56C7C">
      <w:pPr>
        <w:rPr>
          <w:sz w:val="12"/>
        </w:rPr>
      </w:pPr>
      <w:r w:rsidRPr="00D56C7C">
        <w:rPr>
          <w:sz w:val="12"/>
        </w:rPr>
        <w:t xml:space="preserve">Public universities often try to justify restrictive demonstration policies by arguing that they are "reasonable time, place, and manner" regulations, which are permissible under First Amendment law. However, </w:t>
      </w:r>
      <w:r w:rsidRPr="00692AA8">
        <w:rPr>
          <w:rStyle w:val="Emphasis"/>
        </w:rPr>
        <w:t xml:space="preserve">a </w:t>
      </w:r>
      <w:r w:rsidRPr="00D56C7C">
        <w:rPr>
          <w:rStyle w:val="Emphasis"/>
          <w:highlight w:val="yellow"/>
        </w:rPr>
        <w:t xml:space="preserve">valid </w:t>
      </w:r>
      <w:r w:rsidRPr="00D56C7C">
        <w:rPr>
          <w:rStyle w:val="Emphasis"/>
          <w:highlight w:val="yellow"/>
          <w:bdr w:val="single" w:sz="18" w:space="0" w:color="auto"/>
        </w:rPr>
        <w:t>t</w:t>
      </w:r>
      <w:r w:rsidRPr="00692AA8">
        <w:rPr>
          <w:rStyle w:val="Emphasis"/>
        </w:rPr>
        <w:t xml:space="preserve">ime, </w:t>
      </w:r>
      <w:r w:rsidRPr="00D56C7C">
        <w:rPr>
          <w:rStyle w:val="Emphasis"/>
          <w:highlight w:val="yellow"/>
          <w:bdr w:val="single" w:sz="18" w:space="0" w:color="auto"/>
        </w:rPr>
        <w:t>p</w:t>
      </w:r>
      <w:r w:rsidRPr="00692AA8">
        <w:rPr>
          <w:rStyle w:val="Emphasis"/>
        </w:rPr>
        <w:t xml:space="preserve">lace, and </w:t>
      </w:r>
      <w:r w:rsidRPr="00D56C7C">
        <w:rPr>
          <w:rStyle w:val="Emphasis"/>
          <w:highlight w:val="yellow"/>
          <w:bdr w:val="single" w:sz="18" w:space="0" w:color="auto"/>
        </w:rPr>
        <w:t>m</w:t>
      </w:r>
      <w:r w:rsidRPr="00692AA8">
        <w:rPr>
          <w:rStyle w:val="Emphasis"/>
        </w:rPr>
        <w:t xml:space="preserve">anner </w:t>
      </w:r>
      <w:r w:rsidRPr="00D56C7C">
        <w:rPr>
          <w:rStyle w:val="Emphasis"/>
          <w:highlight w:val="yellow"/>
        </w:rPr>
        <w:t>regulation must be</w:t>
      </w:r>
      <w:r w:rsidRPr="00D56C7C">
        <w:rPr>
          <w:sz w:val="12"/>
        </w:rPr>
        <w:t xml:space="preserve"> "</w:t>
      </w:r>
      <w:r w:rsidRPr="00D56C7C">
        <w:rPr>
          <w:rStyle w:val="Emphasis"/>
          <w:highlight w:val="yellow"/>
        </w:rPr>
        <w:t>justified without reference to</w:t>
      </w:r>
      <w:r w:rsidRPr="00692AA8">
        <w:rPr>
          <w:rStyle w:val="Emphasis"/>
        </w:rPr>
        <w:t xml:space="preserve"> the </w:t>
      </w:r>
      <w:r w:rsidRPr="00D56C7C">
        <w:rPr>
          <w:rStyle w:val="Emphasis"/>
          <w:highlight w:val="yellow"/>
        </w:rPr>
        <w:t>content</w:t>
      </w:r>
      <w:r w:rsidRPr="00692AA8">
        <w:rPr>
          <w:rStyle w:val="Emphasis"/>
        </w:rPr>
        <w:t xml:space="preserve"> of the regulated speech</w:t>
      </w:r>
      <w:r w:rsidRPr="00D56C7C">
        <w:rPr>
          <w:sz w:val="12"/>
        </w:rPr>
        <w:t xml:space="preserve">," must be "narrowly tailored to serve a significant governmental interest," and must "leave open ample alternative channels for communication of the information." Clark v. Community for Creative Non-Violence, 468 U.S. 288, 293 (1984). So, for example, </w:t>
      </w:r>
      <w:r w:rsidRPr="00D56C7C">
        <w:rPr>
          <w:rStyle w:val="Emphasis"/>
          <w:highlight w:val="yellow"/>
        </w:rPr>
        <w:t>a university might establish regulations preventing demonstrations from interfering with</w:t>
      </w:r>
      <w:r w:rsidRPr="00692AA8">
        <w:rPr>
          <w:rStyle w:val="Emphasis"/>
        </w:rPr>
        <w:t xml:space="preserve"> pedestrian or vehicular </w:t>
      </w:r>
      <w:r w:rsidRPr="00D56C7C">
        <w:rPr>
          <w:rStyle w:val="Emphasis"/>
          <w:highlight w:val="yellow"/>
        </w:rPr>
        <w:t>traffic or</w:t>
      </w:r>
      <w:r w:rsidRPr="00692AA8">
        <w:rPr>
          <w:rStyle w:val="Emphasis"/>
        </w:rPr>
        <w:t xml:space="preserve"> place </w:t>
      </w:r>
      <w:r w:rsidRPr="00D56C7C">
        <w:rPr>
          <w:rStyle w:val="Emphasis"/>
          <w:highlight w:val="yellow"/>
          <w:bdr w:val="single" w:sz="18" w:space="0" w:color="auto"/>
        </w:rPr>
        <w:t>restrict</w:t>
      </w:r>
      <w:r w:rsidRPr="00692AA8">
        <w:rPr>
          <w:rStyle w:val="Emphasis"/>
        </w:rPr>
        <w:t xml:space="preserve">ions on the use of </w:t>
      </w:r>
      <w:r w:rsidRPr="00D56C7C">
        <w:rPr>
          <w:rStyle w:val="Emphasis"/>
          <w:highlight w:val="yellow"/>
        </w:rPr>
        <w:t>amplified sound so</w:t>
      </w:r>
      <w:r w:rsidRPr="00692AA8">
        <w:rPr>
          <w:rStyle w:val="Emphasis"/>
        </w:rPr>
        <w:t xml:space="preserve"> that expressive </w:t>
      </w:r>
      <w:r w:rsidRPr="00D56C7C">
        <w:rPr>
          <w:rStyle w:val="Emphasis"/>
          <w:highlight w:val="yellow"/>
        </w:rPr>
        <w:t>activities do not interfere with classes</w:t>
      </w:r>
      <w:r w:rsidRPr="00D56C7C">
        <w:rPr>
          <w:sz w:val="12"/>
        </w:rPr>
        <w:t xml:space="preserve"> in progress. </w:t>
      </w:r>
      <w:r w:rsidRPr="00D56C7C">
        <w:rPr>
          <w:rStyle w:val="Emphasis"/>
          <w:highlight w:val="yellow"/>
          <w:bdr w:val="single" w:sz="18" w:space="0" w:color="auto"/>
        </w:rPr>
        <w:t>Those are reasonable, content—neutral provisions</w:t>
      </w:r>
      <w:r w:rsidRPr="00D56C7C">
        <w:rPr>
          <w:rStyle w:val="Emphasis"/>
          <w:highlight w:val="yellow"/>
        </w:rPr>
        <w:t xml:space="preserve"> that serve</w:t>
      </w:r>
      <w:r w:rsidRPr="00692AA8">
        <w:rPr>
          <w:rStyle w:val="Emphasis"/>
        </w:rPr>
        <w:t xml:space="preserve"> a significant </w:t>
      </w:r>
      <w:r w:rsidRPr="00D56C7C">
        <w:rPr>
          <w:rStyle w:val="Emphasis"/>
          <w:highlight w:val="yellow"/>
        </w:rPr>
        <w:t>governmental interest</w:t>
      </w:r>
      <w:r w:rsidRPr="00D56C7C">
        <w:rPr>
          <w:sz w:val="12"/>
        </w:rPr>
        <w:t xml:space="preserve"> (i.e., keeping traffic flowing or allowing classes to continue) </w:t>
      </w:r>
      <w:r w:rsidRPr="00D56C7C">
        <w:rPr>
          <w:rStyle w:val="Emphasis"/>
          <w:highlight w:val="yellow"/>
        </w:rPr>
        <w:t>while</w:t>
      </w:r>
      <w:r w:rsidRPr="00692AA8">
        <w:rPr>
          <w:rStyle w:val="Emphasis"/>
        </w:rPr>
        <w:t xml:space="preserve"> still </w:t>
      </w:r>
      <w:r w:rsidRPr="00D56C7C">
        <w:rPr>
          <w:rStyle w:val="Emphasis"/>
          <w:highlight w:val="yellow"/>
        </w:rPr>
        <w:t>allowing speakers other means</w:t>
      </w:r>
      <w:r w:rsidRPr="00D56C7C">
        <w:rPr>
          <w:sz w:val="12"/>
        </w:rPr>
        <w:t xml:space="preserve"> to spread their message. Too many universities, however, mistake a narrow exception as carte blanche to regulate student demonstrations. </w:t>
      </w:r>
      <w:r w:rsidRPr="00D56C7C">
        <w:rPr>
          <w:rStyle w:val="Emphasis"/>
          <w:highlight w:val="yellow"/>
        </w:rPr>
        <w:t>Regulations that limit free speech to</w:t>
      </w:r>
      <w:r w:rsidRPr="00D56C7C">
        <w:rPr>
          <w:sz w:val="12"/>
        </w:rPr>
        <w:t xml:space="preserve"> just one or two areas of campus or require prior </w:t>
      </w:r>
      <w:r w:rsidRPr="00D56C7C">
        <w:rPr>
          <w:rStyle w:val="Emphasis"/>
          <w:highlight w:val="yellow"/>
        </w:rPr>
        <w:t>administrative approval</w:t>
      </w:r>
      <w:r w:rsidRPr="00D56C7C">
        <w:rPr>
          <w:sz w:val="12"/>
        </w:rPr>
        <w:t xml:space="preserve"> for all expressive activity </w:t>
      </w:r>
      <w:r w:rsidRPr="00D56C7C">
        <w:rPr>
          <w:rStyle w:val="Emphasis"/>
          <w:highlight w:val="yellow"/>
        </w:rPr>
        <w:t>are not</w:t>
      </w:r>
      <w:r w:rsidRPr="00692AA8">
        <w:rPr>
          <w:rStyle w:val="Emphasis"/>
        </w:rPr>
        <w:t xml:space="preserve"> reasonable </w:t>
      </w:r>
      <w:r w:rsidRPr="00D56C7C">
        <w:rPr>
          <w:rStyle w:val="Emphasis"/>
          <w:highlight w:val="yellow"/>
          <w:bdr w:val="single" w:sz="18" w:space="0" w:color="auto"/>
        </w:rPr>
        <w:t>t</w:t>
      </w:r>
      <w:r w:rsidRPr="00692AA8">
        <w:rPr>
          <w:rStyle w:val="Emphasis"/>
        </w:rPr>
        <w:t xml:space="preserve">ime, </w:t>
      </w:r>
      <w:r w:rsidRPr="00D56C7C">
        <w:rPr>
          <w:rStyle w:val="Emphasis"/>
          <w:highlight w:val="yellow"/>
          <w:bdr w:val="single" w:sz="18" w:space="0" w:color="auto"/>
        </w:rPr>
        <w:t>p</w:t>
      </w:r>
      <w:r w:rsidRPr="00692AA8">
        <w:rPr>
          <w:rStyle w:val="Emphasis"/>
        </w:rPr>
        <w:t xml:space="preserve">lace, and </w:t>
      </w:r>
      <w:r w:rsidRPr="00D56C7C">
        <w:rPr>
          <w:rStyle w:val="Emphasis"/>
          <w:highlight w:val="yellow"/>
          <w:bdr w:val="single" w:sz="18" w:space="0" w:color="auto"/>
        </w:rPr>
        <w:t>m</w:t>
      </w:r>
      <w:r w:rsidRPr="00692AA8">
        <w:rPr>
          <w:rStyle w:val="Emphasis"/>
        </w:rPr>
        <w:t>anner regulations.</w:t>
      </w:r>
      <w:bookmarkStart w:id="0" w:name="_GoBack"/>
      <w:bookmarkEnd w:id="0"/>
    </w:p>
    <w:p w14:paraId="47248AFF" w14:textId="77777777" w:rsidR="00692AA8" w:rsidRPr="00692AA8" w:rsidRDefault="00692AA8" w:rsidP="00692AA8"/>
    <w:sectPr w:rsidR="00692AA8" w:rsidRPr="00692AA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905315"/>
    <w:multiLevelType w:val="hybridMultilevel"/>
    <w:tmpl w:val="9CCCCDCE"/>
    <w:lvl w:ilvl="0" w:tplc="7C32068C">
      <w:start w:val="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4C524B"/>
    <w:multiLevelType w:val="hybridMultilevel"/>
    <w:tmpl w:val="AFA02912"/>
    <w:lvl w:ilvl="0" w:tplc="4DA649C0">
      <w:start w:val="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AB3765"/>
    <w:multiLevelType w:val="hybridMultilevel"/>
    <w:tmpl w:val="A69ACC16"/>
    <w:lvl w:ilvl="0" w:tplc="4D287778">
      <w:start w:val="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E3C4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4BB9"/>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34F"/>
    <w:rsid w:val="003F7DF0"/>
    <w:rsid w:val="004039AF"/>
    <w:rsid w:val="00407AFF"/>
    <w:rsid w:val="0041155D"/>
    <w:rsid w:val="004170BF"/>
    <w:rsid w:val="004270E3"/>
    <w:rsid w:val="004348DC"/>
    <w:rsid w:val="00434921"/>
    <w:rsid w:val="00442018"/>
    <w:rsid w:val="00446567"/>
    <w:rsid w:val="00447B10"/>
    <w:rsid w:val="00452330"/>
    <w:rsid w:val="00452EE4"/>
    <w:rsid w:val="00452F0B"/>
    <w:rsid w:val="004536D6"/>
    <w:rsid w:val="00457224"/>
    <w:rsid w:val="0047482C"/>
    <w:rsid w:val="00475436"/>
    <w:rsid w:val="0048047E"/>
    <w:rsid w:val="00482AF9"/>
    <w:rsid w:val="00496BB2"/>
    <w:rsid w:val="004B0BDC"/>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AA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58FC"/>
    <w:rsid w:val="00897C29"/>
    <w:rsid w:val="008A1A9C"/>
    <w:rsid w:val="008A4633"/>
    <w:rsid w:val="008A4C28"/>
    <w:rsid w:val="008B032E"/>
    <w:rsid w:val="008B5E15"/>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49A8"/>
    <w:rsid w:val="009A6464"/>
    <w:rsid w:val="009B69F5"/>
    <w:rsid w:val="009C5FF7"/>
    <w:rsid w:val="009C6292"/>
    <w:rsid w:val="009D15DB"/>
    <w:rsid w:val="009D3133"/>
    <w:rsid w:val="009E160D"/>
    <w:rsid w:val="009F0E65"/>
    <w:rsid w:val="009F1CBB"/>
    <w:rsid w:val="009F3305"/>
    <w:rsid w:val="009F6FB2"/>
    <w:rsid w:val="00A071C0"/>
    <w:rsid w:val="00A22670"/>
    <w:rsid w:val="00A24B35"/>
    <w:rsid w:val="00A271BA"/>
    <w:rsid w:val="00A27F86"/>
    <w:rsid w:val="00A431C6"/>
    <w:rsid w:val="00A54315"/>
    <w:rsid w:val="00A60FBC"/>
    <w:rsid w:val="00A622B6"/>
    <w:rsid w:val="00A65C0B"/>
    <w:rsid w:val="00A72E24"/>
    <w:rsid w:val="00A776BA"/>
    <w:rsid w:val="00A81FD2"/>
    <w:rsid w:val="00A8441A"/>
    <w:rsid w:val="00A8674A"/>
    <w:rsid w:val="00A94CB3"/>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CF6DDF"/>
    <w:rsid w:val="00D01EDC"/>
    <w:rsid w:val="00D078AA"/>
    <w:rsid w:val="00D10058"/>
    <w:rsid w:val="00D11978"/>
    <w:rsid w:val="00D15E30"/>
    <w:rsid w:val="00D16129"/>
    <w:rsid w:val="00D17E49"/>
    <w:rsid w:val="00D25DBD"/>
    <w:rsid w:val="00D26929"/>
    <w:rsid w:val="00D30CBD"/>
    <w:rsid w:val="00D30D9E"/>
    <w:rsid w:val="00D33908"/>
    <w:rsid w:val="00D354F2"/>
    <w:rsid w:val="00D36C30"/>
    <w:rsid w:val="00D37C90"/>
    <w:rsid w:val="00D43A8C"/>
    <w:rsid w:val="00D53072"/>
    <w:rsid w:val="00D56C7C"/>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0C84"/>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3C4A"/>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5FD3"/>
    <w:rsid w:val="00F57FFB"/>
    <w:rsid w:val="00F601E6"/>
    <w:rsid w:val="00F73954"/>
    <w:rsid w:val="00F74155"/>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9145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56C7C"/>
    <w:rPr>
      <w:rFonts w:ascii="Calibri" w:hAnsi="Calibri"/>
      <w:sz w:val="22"/>
    </w:rPr>
  </w:style>
  <w:style w:type="paragraph" w:styleId="Heading1">
    <w:name w:val="heading 1"/>
    <w:aliases w:val="Pocket"/>
    <w:basedOn w:val="Normal"/>
    <w:next w:val="Normal"/>
    <w:link w:val="Heading1Char"/>
    <w:uiPriority w:val="9"/>
    <w:qFormat/>
    <w:rsid w:val="00D56C7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56C7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56C7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56C7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56C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C7C"/>
  </w:style>
  <w:style w:type="character" w:customStyle="1" w:styleId="Heading1Char">
    <w:name w:val="Heading 1 Char"/>
    <w:aliases w:val="Pocket Char"/>
    <w:basedOn w:val="DefaultParagraphFont"/>
    <w:link w:val="Heading1"/>
    <w:uiPriority w:val="9"/>
    <w:rsid w:val="00D56C7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56C7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56C7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56C7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D56C7C"/>
    <w:rPr>
      <w:b/>
      <w:sz w:val="26"/>
      <w:u w:val="none"/>
    </w:rPr>
  </w:style>
  <w:style w:type="character" w:customStyle="1" w:styleId="StyleUnderline">
    <w:name w:val="Style Underline"/>
    <w:aliases w:val="Underline"/>
    <w:basedOn w:val="DefaultParagraphFont"/>
    <w:uiPriority w:val="1"/>
    <w:qFormat/>
    <w:rsid w:val="00D56C7C"/>
    <w:rPr>
      <w:b w:val="0"/>
      <w:sz w:val="22"/>
      <w:u w:val="single"/>
    </w:rPr>
  </w:style>
  <w:style w:type="character" w:styleId="Emphasis">
    <w:name w:val="Emphasis"/>
    <w:basedOn w:val="DefaultParagraphFont"/>
    <w:uiPriority w:val="20"/>
    <w:qFormat/>
    <w:rsid w:val="00D56C7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56C7C"/>
    <w:rPr>
      <w:color w:val="auto"/>
      <w:u w:val="none"/>
    </w:rPr>
  </w:style>
  <w:style w:type="character" w:styleId="Hyperlink">
    <w:name w:val="Hyperlink"/>
    <w:basedOn w:val="DefaultParagraphFont"/>
    <w:uiPriority w:val="99"/>
    <w:unhideWhenUsed/>
    <w:rsid w:val="00D56C7C"/>
    <w:rPr>
      <w:color w:val="auto"/>
      <w:u w:val="none"/>
    </w:rPr>
  </w:style>
  <w:style w:type="paragraph" w:styleId="DocumentMap">
    <w:name w:val="Document Map"/>
    <w:basedOn w:val="Normal"/>
    <w:link w:val="DocumentMapChar"/>
    <w:uiPriority w:val="99"/>
    <w:semiHidden/>
    <w:unhideWhenUsed/>
    <w:rsid w:val="00D56C7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56C7C"/>
    <w:rPr>
      <w:rFonts w:ascii="Lucida Grande" w:hAnsi="Lucida Grande" w:cs="Lucida Grande"/>
    </w:rPr>
  </w:style>
  <w:style w:type="paragraph" w:styleId="NormalWeb">
    <w:name w:val="Normal (Web)"/>
    <w:basedOn w:val="Normal"/>
    <w:uiPriority w:val="99"/>
    <w:semiHidden/>
    <w:unhideWhenUsed/>
    <w:rsid w:val="00EE3C4A"/>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EE3C4A"/>
  </w:style>
  <w:style w:type="character" w:customStyle="1" w:styleId="hvr">
    <w:name w:val="hvr"/>
    <w:basedOn w:val="DefaultParagraphFont"/>
    <w:rsid w:val="00EE3C4A"/>
  </w:style>
  <w:style w:type="paragraph" w:styleId="ListParagraph">
    <w:name w:val="List Paragraph"/>
    <w:basedOn w:val="Normal"/>
    <w:uiPriority w:val="34"/>
    <w:qFormat/>
    <w:rsid w:val="00DD0C84"/>
    <w:pPr>
      <w:ind w:left="720"/>
      <w:contextualSpacing/>
    </w:pPr>
  </w:style>
  <w:style w:type="paragraph" w:customStyle="1" w:styleId="selectionshareable">
    <w:name w:val="selectionshareable"/>
    <w:basedOn w:val="Normal"/>
    <w:rsid w:val="00692AA8"/>
    <w:pPr>
      <w:spacing w:before="100" w:beforeAutospacing="1" w:after="100" w:afterAutospacing="1"/>
    </w:pPr>
    <w:rPr>
      <w:rFonts w:ascii="Times New Roman" w:hAnsi="Times New Roman" w:cs="Times New Roman"/>
      <w:sz w:val="24"/>
    </w:rPr>
  </w:style>
  <w:style w:type="character" w:customStyle="1" w:styleId="entry-header">
    <w:name w:val="entry-header"/>
    <w:basedOn w:val="DefaultParagraphFont"/>
    <w:rsid w:val="00A94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47554">
      <w:bodyDiv w:val="1"/>
      <w:marLeft w:val="0"/>
      <w:marRight w:val="0"/>
      <w:marTop w:val="0"/>
      <w:marBottom w:val="0"/>
      <w:divBdr>
        <w:top w:val="none" w:sz="0" w:space="0" w:color="auto"/>
        <w:left w:val="none" w:sz="0" w:space="0" w:color="auto"/>
        <w:bottom w:val="none" w:sz="0" w:space="0" w:color="auto"/>
        <w:right w:val="none" w:sz="0" w:space="0" w:color="auto"/>
      </w:divBdr>
    </w:div>
    <w:div w:id="224416458">
      <w:bodyDiv w:val="1"/>
      <w:marLeft w:val="0"/>
      <w:marRight w:val="0"/>
      <w:marTop w:val="0"/>
      <w:marBottom w:val="0"/>
      <w:divBdr>
        <w:top w:val="none" w:sz="0" w:space="0" w:color="auto"/>
        <w:left w:val="none" w:sz="0" w:space="0" w:color="auto"/>
        <w:bottom w:val="none" w:sz="0" w:space="0" w:color="auto"/>
        <w:right w:val="none" w:sz="0" w:space="0" w:color="auto"/>
      </w:divBdr>
    </w:div>
    <w:div w:id="452334269">
      <w:bodyDiv w:val="1"/>
      <w:marLeft w:val="0"/>
      <w:marRight w:val="0"/>
      <w:marTop w:val="0"/>
      <w:marBottom w:val="0"/>
      <w:divBdr>
        <w:top w:val="none" w:sz="0" w:space="0" w:color="auto"/>
        <w:left w:val="none" w:sz="0" w:space="0" w:color="auto"/>
        <w:bottom w:val="none" w:sz="0" w:space="0" w:color="auto"/>
        <w:right w:val="none" w:sz="0" w:space="0" w:color="auto"/>
      </w:divBdr>
    </w:div>
    <w:div w:id="761145624">
      <w:bodyDiv w:val="1"/>
      <w:marLeft w:val="0"/>
      <w:marRight w:val="0"/>
      <w:marTop w:val="0"/>
      <w:marBottom w:val="0"/>
      <w:divBdr>
        <w:top w:val="none" w:sz="0" w:space="0" w:color="auto"/>
        <w:left w:val="none" w:sz="0" w:space="0" w:color="auto"/>
        <w:bottom w:val="none" w:sz="0" w:space="0" w:color="auto"/>
        <w:right w:val="none" w:sz="0" w:space="0" w:color="auto"/>
      </w:divBdr>
    </w:div>
    <w:div w:id="776215691">
      <w:bodyDiv w:val="1"/>
      <w:marLeft w:val="0"/>
      <w:marRight w:val="0"/>
      <w:marTop w:val="0"/>
      <w:marBottom w:val="0"/>
      <w:divBdr>
        <w:top w:val="none" w:sz="0" w:space="0" w:color="auto"/>
        <w:left w:val="none" w:sz="0" w:space="0" w:color="auto"/>
        <w:bottom w:val="none" w:sz="0" w:space="0" w:color="auto"/>
        <w:right w:val="none" w:sz="0" w:space="0" w:color="auto"/>
      </w:divBdr>
    </w:div>
    <w:div w:id="801928258">
      <w:bodyDiv w:val="1"/>
      <w:marLeft w:val="0"/>
      <w:marRight w:val="0"/>
      <w:marTop w:val="0"/>
      <w:marBottom w:val="0"/>
      <w:divBdr>
        <w:top w:val="none" w:sz="0" w:space="0" w:color="auto"/>
        <w:left w:val="none" w:sz="0" w:space="0" w:color="auto"/>
        <w:bottom w:val="none" w:sz="0" w:space="0" w:color="auto"/>
        <w:right w:val="none" w:sz="0" w:space="0" w:color="auto"/>
      </w:divBdr>
    </w:div>
    <w:div w:id="924607325">
      <w:bodyDiv w:val="1"/>
      <w:marLeft w:val="0"/>
      <w:marRight w:val="0"/>
      <w:marTop w:val="0"/>
      <w:marBottom w:val="0"/>
      <w:divBdr>
        <w:top w:val="none" w:sz="0" w:space="0" w:color="auto"/>
        <w:left w:val="none" w:sz="0" w:space="0" w:color="auto"/>
        <w:bottom w:val="none" w:sz="0" w:space="0" w:color="auto"/>
        <w:right w:val="none" w:sz="0" w:space="0" w:color="auto"/>
      </w:divBdr>
    </w:div>
    <w:div w:id="1265501520">
      <w:bodyDiv w:val="1"/>
      <w:marLeft w:val="0"/>
      <w:marRight w:val="0"/>
      <w:marTop w:val="0"/>
      <w:marBottom w:val="0"/>
      <w:divBdr>
        <w:top w:val="none" w:sz="0" w:space="0" w:color="auto"/>
        <w:left w:val="none" w:sz="0" w:space="0" w:color="auto"/>
        <w:bottom w:val="none" w:sz="0" w:space="0" w:color="auto"/>
        <w:right w:val="none" w:sz="0" w:space="0" w:color="auto"/>
      </w:divBdr>
    </w:div>
    <w:div w:id="21044944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E8126BC-477A-DC49-8DF3-4FF1CC061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3</Pages>
  <Words>575</Words>
  <Characters>3280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3848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10</cp:revision>
  <dcterms:created xsi:type="dcterms:W3CDTF">2017-02-25T16:47:00Z</dcterms:created>
  <dcterms:modified xsi:type="dcterms:W3CDTF">2017-04-13T19:09:00Z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